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91B" w:rsidRDefault="00BC74F0" w:rsidP="00BC74F0">
      <w:pPr>
        <w:jc w:val="center"/>
        <w:rPr>
          <w:rFonts w:hint="eastAsia"/>
          <w:b/>
          <w:bCs/>
          <w:color w:val="000000"/>
          <w:sz w:val="23"/>
          <w:szCs w:val="23"/>
        </w:rPr>
      </w:pPr>
      <w:r>
        <w:rPr>
          <w:rFonts w:hint="eastAsia"/>
          <w:b/>
          <w:bCs/>
          <w:color w:val="000000"/>
          <w:sz w:val="23"/>
          <w:szCs w:val="23"/>
        </w:rPr>
        <w:t>福州大学关于组织开展</w:t>
      </w:r>
      <w:r>
        <w:rPr>
          <w:rFonts w:hint="eastAsia"/>
          <w:b/>
          <w:bCs/>
          <w:color w:val="000000"/>
          <w:sz w:val="23"/>
          <w:szCs w:val="23"/>
        </w:rPr>
        <w:t>2021</w:t>
      </w:r>
      <w:r>
        <w:rPr>
          <w:rFonts w:hint="eastAsia"/>
          <w:b/>
          <w:bCs/>
          <w:color w:val="000000"/>
          <w:sz w:val="23"/>
          <w:szCs w:val="23"/>
        </w:rPr>
        <w:t>年一流本科课程建设项目申报的通知</w:t>
      </w:r>
    </w:p>
    <w:p w:rsidR="00BC74F0" w:rsidRDefault="00BC74F0">
      <w:pPr>
        <w:rPr>
          <w:rFonts w:hint="eastAsia"/>
          <w:b/>
          <w:bCs/>
          <w:color w:val="000000"/>
          <w:sz w:val="23"/>
          <w:szCs w:val="23"/>
        </w:rPr>
      </w:pPr>
    </w:p>
    <w:p w:rsidR="00BC74F0" w:rsidRPr="00BC74F0" w:rsidRDefault="00BC74F0" w:rsidP="00BC74F0">
      <w:pPr>
        <w:widowControl/>
        <w:spacing w:before="100" w:beforeAutospacing="1" w:after="100" w:afterAutospacing="1" w:line="300" w:lineRule="atLeast"/>
        <w:jc w:val="left"/>
        <w:rPr>
          <w:rFonts w:ascii="宋体" w:hAnsi="宋体" w:cs="宋体"/>
          <w:color w:val="000000"/>
          <w:kern w:val="0"/>
          <w:sz w:val="24"/>
        </w:rPr>
      </w:pPr>
      <w:r w:rsidRPr="00BC74F0">
        <w:rPr>
          <w:rFonts w:ascii="宋体" w:hAnsi="宋体" w:cs="宋体" w:hint="eastAsia"/>
          <w:color w:val="000000"/>
          <w:kern w:val="0"/>
          <w:sz w:val="24"/>
        </w:rPr>
        <w:t>各学院、有关教学单位：</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为深化新工科、新文科建设，精心打造具有福大特色的一流本科课程体系，全面树立“价值引领、知识拓展、思维训练、能力建构”四位</w:t>
      </w:r>
      <w:proofErr w:type="gramStart"/>
      <w:r w:rsidRPr="00BC74F0">
        <w:rPr>
          <w:rFonts w:ascii="宋体" w:hAnsi="宋体" w:cs="宋体" w:hint="eastAsia"/>
          <w:color w:val="000000"/>
          <w:kern w:val="0"/>
          <w:sz w:val="24"/>
        </w:rPr>
        <w:t>一体建课</w:t>
      </w:r>
      <w:proofErr w:type="gramEnd"/>
      <w:r w:rsidRPr="00BC74F0">
        <w:rPr>
          <w:rFonts w:ascii="宋体" w:hAnsi="宋体" w:cs="宋体" w:hint="eastAsia"/>
          <w:color w:val="000000"/>
          <w:kern w:val="0"/>
          <w:sz w:val="24"/>
        </w:rPr>
        <w:t>理念，强化课程思政和产出导向，深入推进课堂教学创新，经研究，学校拟立项建设一批校级一流本科课程建设项目。有关事项通知如下：</w:t>
      </w:r>
    </w:p>
    <w:p w:rsidR="00BC74F0" w:rsidRPr="00BC74F0" w:rsidRDefault="00BC74F0" w:rsidP="00BC74F0">
      <w:pPr>
        <w:widowControl/>
        <w:spacing w:before="100" w:beforeAutospacing="1" w:after="100" w:afterAutospacing="1" w:line="300" w:lineRule="atLeast"/>
        <w:ind w:firstLine="562"/>
        <w:jc w:val="left"/>
        <w:rPr>
          <w:rFonts w:ascii="宋体" w:hAnsi="宋体" w:cs="宋体"/>
          <w:color w:val="000000"/>
          <w:kern w:val="0"/>
          <w:sz w:val="24"/>
        </w:rPr>
      </w:pPr>
      <w:r w:rsidRPr="00BC74F0">
        <w:rPr>
          <w:rFonts w:ascii="宋体" w:hAnsi="宋体" w:cs="宋体" w:hint="eastAsia"/>
          <w:b/>
          <w:bCs/>
          <w:color w:val="000000"/>
          <w:kern w:val="0"/>
          <w:sz w:val="24"/>
        </w:rPr>
        <w:t>一、立项数量</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学校拟立项建设15项</w:t>
      </w:r>
      <w:proofErr w:type="gramStart"/>
      <w:r w:rsidRPr="00BC74F0">
        <w:rPr>
          <w:rFonts w:ascii="宋体" w:hAnsi="宋体" w:cs="宋体" w:hint="eastAsia"/>
          <w:color w:val="000000"/>
          <w:kern w:val="0"/>
          <w:sz w:val="24"/>
        </w:rPr>
        <w:t>左右线</w:t>
      </w:r>
      <w:proofErr w:type="gramEnd"/>
      <w:r w:rsidRPr="00BC74F0">
        <w:rPr>
          <w:rFonts w:ascii="宋体" w:hAnsi="宋体" w:cs="宋体" w:hint="eastAsia"/>
          <w:color w:val="000000"/>
          <w:kern w:val="0"/>
          <w:sz w:val="24"/>
        </w:rPr>
        <w:t>上一流课程、50项左右线下一流课程、30项</w:t>
      </w:r>
      <w:proofErr w:type="gramStart"/>
      <w:r w:rsidRPr="00BC74F0">
        <w:rPr>
          <w:rFonts w:ascii="宋体" w:hAnsi="宋体" w:cs="宋体" w:hint="eastAsia"/>
          <w:color w:val="000000"/>
          <w:kern w:val="0"/>
          <w:sz w:val="24"/>
        </w:rPr>
        <w:t>左右线</w:t>
      </w:r>
      <w:proofErr w:type="gramEnd"/>
      <w:r w:rsidRPr="00BC74F0">
        <w:rPr>
          <w:rFonts w:ascii="宋体" w:hAnsi="宋体" w:cs="宋体" w:hint="eastAsia"/>
          <w:color w:val="000000"/>
          <w:kern w:val="0"/>
          <w:sz w:val="24"/>
        </w:rPr>
        <w:t>上线下混合式一流课程、20项左右社会实践一流课程。各类型一流本科课程立项数量将根据申报情况作适当调整。</w:t>
      </w:r>
    </w:p>
    <w:p w:rsidR="00BC74F0" w:rsidRPr="00BC74F0" w:rsidRDefault="00BC74F0" w:rsidP="00BC74F0">
      <w:pPr>
        <w:widowControl/>
        <w:spacing w:before="100" w:beforeAutospacing="1" w:after="100" w:afterAutospacing="1" w:line="300" w:lineRule="atLeast"/>
        <w:ind w:firstLine="562"/>
        <w:jc w:val="left"/>
        <w:rPr>
          <w:rFonts w:ascii="宋体" w:hAnsi="宋体" w:cs="宋体"/>
          <w:color w:val="000000"/>
          <w:kern w:val="0"/>
          <w:sz w:val="24"/>
        </w:rPr>
      </w:pPr>
      <w:r w:rsidRPr="00BC74F0">
        <w:rPr>
          <w:rFonts w:ascii="宋体" w:hAnsi="宋体" w:cs="宋体" w:hint="eastAsia"/>
          <w:b/>
          <w:bCs/>
          <w:color w:val="000000"/>
          <w:kern w:val="0"/>
          <w:sz w:val="24"/>
        </w:rPr>
        <w:t>二、申报条件</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1.课程负责人须为我校在职专任教师，并主讲本门课程，能按需要组建教学团队，课程团队成员结构合理、人员稳定、素质优良、分工科学，能够落实相应改革措施，有较强的教学设计与创新能力。重点鼓励和支持高层次人才主持或加盟课程建设。</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2．申请课程须为学校纳入人才培养方案且设置学分的本科课程，至少经过两个学期或两个教学周期的建设和完善，注重</w:t>
      </w:r>
      <w:proofErr w:type="gramStart"/>
      <w:r w:rsidRPr="00BC74F0">
        <w:rPr>
          <w:rFonts w:ascii="宋体" w:hAnsi="宋体" w:cs="宋体" w:hint="eastAsia"/>
          <w:color w:val="000000"/>
          <w:kern w:val="0"/>
          <w:sz w:val="24"/>
        </w:rPr>
        <w:t>课程思政建设</w:t>
      </w:r>
      <w:proofErr w:type="gramEnd"/>
      <w:r w:rsidRPr="00BC74F0">
        <w:rPr>
          <w:rFonts w:ascii="宋体" w:hAnsi="宋体" w:cs="宋体" w:hint="eastAsia"/>
          <w:color w:val="000000"/>
          <w:kern w:val="0"/>
          <w:sz w:val="24"/>
        </w:rPr>
        <w:t>和产出导向落实，取得实质性改革成效，在同类课程中具有鲜明特色、显著教学效果，并承诺立项后面向新工科、新文科进行持续建设。</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3．线下一流课程、线上线下混合式一流课程、社会实践一流课程须满足《教育部关于一流本科课程建设的实施意见》（</w:t>
      </w:r>
      <w:proofErr w:type="gramStart"/>
      <w:r w:rsidRPr="00BC74F0">
        <w:rPr>
          <w:rFonts w:ascii="宋体" w:hAnsi="宋体" w:cs="宋体" w:hint="eastAsia"/>
          <w:color w:val="000000"/>
          <w:kern w:val="0"/>
          <w:sz w:val="24"/>
        </w:rPr>
        <w:t>教高〔2019〕</w:t>
      </w:r>
      <w:proofErr w:type="gramEnd"/>
      <w:r w:rsidRPr="00BC74F0">
        <w:rPr>
          <w:rFonts w:ascii="宋体" w:hAnsi="宋体" w:cs="宋体" w:hint="eastAsia"/>
          <w:color w:val="000000"/>
          <w:kern w:val="0"/>
          <w:sz w:val="24"/>
        </w:rPr>
        <w:t>8 号，见附件1）文件要求的推荐条件，且课程信息应与学校教务系统保持一致。</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4．为避免重复建设，此前已被认定为国家级、省级一流本科课程，以及与其同类型的同名课程不参加此次申报；一名教师本次仅限主持建设一门一流本科课程。</w:t>
      </w:r>
    </w:p>
    <w:p w:rsidR="00BC74F0" w:rsidRPr="00BC74F0" w:rsidRDefault="00BC74F0" w:rsidP="00BC74F0">
      <w:pPr>
        <w:widowControl/>
        <w:spacing w:before="100" w:beforeAutospacing="1" w:after="100" w:afterAutospacing="1" w:line="300" w:lineRule="atLeast"/>
        <w:ind w:firstLine="562"/>
        <w:jc w:val="left"/>
        <w:rPr>
          <w:rFonts w:ascii="宋体" w:hAnsi="宋体" w:cs="宋体"/>
          <w:color w:val="000000"/>
          <w:kern w:val="0"/>
          <w:sz w:val="24"/>
        </w:rPr>
      </w:pPr>
      <w:r w:rsidRPr="00BC74F0">
        <w:rPr>
          <w:rFonts w:ascii="宋体" w:hAnsi="宋体" w:cs="宋体" w:hint="eastAsia"/>
          <w:b/>
          <w:bCs/>
          <w:color w:val="000000"/>
          <w:kern w:val="0"/>
          <w:sz w:val="24"/>
        </w:rPr>
        <w:t>三、建设要求</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1.线上一流课程。主要指基于在线学习平台，利用信息技术与数字化资源，进行广泛教与学活动的一种开放共享课程。需对线上课程有充分的认识和教学资源积累，承诺立项后在建设期内完成课程建设上线开课，并符合《高等学校慕课建设与应用指南（试行）》（见附件2）的课程建设要求。后续须参加省级或国家级线上一流本科课程申报。鼓励相关学院积极策划和发动，重点围绕本学院已有的国家级、省级</w:t>
      </w:r>
      <w:proofErr w:type="gramStart"/>
      <w:r w:rsidRPr="00BC74F0">
        <w:rPr>
          <w:rFonts w:ascii="宋体" w:hAnsi="宋体" w:cs="宋体" w:hint="eastAsia"/>
          <w:color w:val="000000"/>
          <w:kern w:val="0"/>
          <w:sz w:val="24"/>
        </w:rPr>
        <w:t>一</w:t>
      </w:r>
      <w:proofErr w:type="gramEnd"/>
      <w:r w:rsidRPr="00BC74F0">
        <w:rPr>
          <w:rFonts w:ascii="宋体" w:hAnsi="宋体" w:cs="宋体" w:hint="eastAsia"/>
          <w:color w:val="000000"/>
          <w:kern w:val="0"/>
          <w:sz w:val="24"/>
        </w:rPr>
        <w:t>流线上课程，补充和开发建设相关慕课，着力打造形成***专业的</w:t>
      </w:r>
      <w:proofErr w:type="gramStart"/>
      <w:r w:rsidRPr="00BC74F0">
        <w:rPr>
          <w:rFonts w:ascii="宋体" w:hAnsi="宋体" w:cs="宋体" w:hint="eastAsia"/>
          <w:color w:val="000000"/>
          <w:kern w:val="0"/>
          <w:sz w:val="24"/>
        </w:rPr>
        <w:t>微专业</w:t>
      </w:r>
      <w:proofErr w:type="gramEnd"/>
      <w:r w:rsidRPr="00BC74F0">
        <w:rPr>
          <w:rFonts w:ascii="宋体" w:hAnsi="宋体" w:cs="宋体" w:hint="eastAsia"/>
          <w:color w:val="000000"/>
          <w:kern w:val="0"/>
          <w:sz w:val="24"/>
        </w:rPr>
        <w:t>辅修课程群，以供本校学生和福州大学城其它高校辅修。</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lastRenderedPageBreak/>
        <w:t>2.线下一流课程。主要指以面授为主的课程，坚持“价值引领、知识拓展、思维训练、能力建构”有机融合，重塑课程内容，创新教学方法，打破课堂沉默状态，焕发课堂生机活力，较好发挥课堂教学主阵地、主渠道、主战场作用，符合课程基本形态和要求，相比传统面授课程，线下课程应在内容和教学方式方法上与时俱进，注重提升学生解决复杂问题的综合能力素质。鼓励线下课程充分总结新冠肺炎疫情期间线上教学经验成果，有效运用智慧教室以及线上优质资源开展教学改革。 </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3.线上线下混合式一流课程。此次立项范围为爱课程平台以外的其它教学平台课程应用。主要指基于线上课程（慕课）、专属在线课程（SPOC）或其他线上课程，有效利用线上优质资源，运用适当的在线教学平台、智慧教学辅助工具，合理分配学时，安排20%—50%的教学时间实施学生线上自主学习，结合本校实际对校内课程进行改造，与线下面授有机结合开展翻转课堂、混合式教学，有完整的教学设计和组织实施方案，应具有可追溯的学生在线学习记录，符合《高等学校慕课建设与应用指南（试行）》（见附件2）的课程建设要求。大力倡导基于国家精品在线开放课程应用的线上线下混合式优质课程申报。</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4.社会实践一流课程。主要指纳入人才培养方案的非实习、实训课程，配备理论指导教师，具有稳定的实践基地，学生70%以上学时深入基层。鼓励通过“青年红色筑梦之旅”、“互联网＋”大学生创新创业大赛、创新创业和思想政治理论课社会实践、“乡村振兴”综合实践等活动，推动思想政治教育、专业教育与社会服务紧密结合。要不断优化教学设计，培养学生运用所学理论知识认识社会、研究社会、理解社会、服务社会的能力。</w:t>
      </w:r>
    </w:p>
    <w:p w:rsidR="00BC74F0" w:rsidRPr="00BC74F0" w:rsidRDefault="00BC74F0" w:rsidP="00BC74F0">
      <w:pPr>
        <w:widowControl/>
        <w:spacing w:before="100" w:beforeAutospacing="1" w:after="100" w:afterAutospacing="1" w:line="300" w:lineRule="atLeast"/>
        <w:ind w:firstLine="562"/>
        <w:jc w:val="left"/>
        <w:rPr>
          <w:rFonts w:ascii="宋体" w:hAnsi="宋体" w:cs="宋体"/>
          <w:color w:val="000000"/>
          <w:kern w:val="0"/>
          <w:sz w:val="24"/>
        </w:rPr>
      </w:pPr>
      <w:r w:rsidRPr="00BC74F0">
        <w:rPr>
          <w:rFonts w:ascii="宋体" w:hAnsi="宋体" w:cs="宋体" w:hint="eastAsia"/>
          <w:b/>
          <w:bCs/>
          <w:color w:val="000000"/>
          <w:kern w:val="0"/>
          <w:sz w:val="24"/>
        </w:rPr>
        <w:t>四、管理办法</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此次获</w:t>
      </w:r>
      <w:proofErr w:type="gramStart"/>
      <w:r w:rsidRPr="00BC74F0">
        <w:rPr>
          <w:rFonts w:ascii="宋体" w:hAnsi="宋体" w:cs="宋体" w:hint="eastAsia"/>
          <w:color w:val="000000"/>
          <w:kern w:val="0"/>
          <w:sz w:val="24"/>
        </w:rPr>
        <w:t>评批准</w:t>
      </w:r>
      <w:proofErr w:type="gramEnd"/>
      <w:r w:rsidRPr="00BC74F0">
        <w:rPr>
          <w:rFonts w:ascii="宋体" w:hAnsi="宋体" w:cs="宋体" w:hint="eastAsia"/>
          <w:color w:val="000000"/>
          <w:kern w:val="0"/>
          <w:sz w:val="24"/>
        </w:rPr>
        <w:t>立项的建设项目将认定为校级教改项目，学校根据不同课程类型给予一定的经费支持，并纳入教改项目进行管理。</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线上一流课程建设项目立项后须于半年内完成拍摄任务，一年内上线开课；其它类型一流课程建设项目立项后须一年内参加一次以上省级或国家级一流课程的申报。</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被推荐参评的课程如被认定为国家级一流课程，结题直接认定为优秀，如被认定为省级一流课程，结题直接认定为良好；其它情况均须在一年内参加结题验收。</w:t>
      </w:r>
    </w:p>
    <w:p w:rsidR="00BC74F0" w:rsidRPr="00BC74F0" w:rsidRDefault="00BC74F0" w:rsidP="00BC74F0">
      <w:pPr>
        <w:widowControl/>
        <w:spacing w:before="100" w:beforeAutospacing="1" w:after="100" w:afterAutospacing="1" w:line="300" w:lineRule="atLeast"/>
        <w:ind w:firstLine="562"/>
        <w:jc w:val="left"/>
        <w:rPr>
          <w:rFonts w:ascii="宋体" w:hAnsi="宋体" w:cs="宋体"/>
          <w:color w:val="000000"/>
          <w:kern w:val="0"/>
          <w:sz w:val="24"/>
        </w:rPr>
      </w:pPr>
      <w:r w:rsidRPr="00BC74F0">
        <w:rPr>
          <w:rFonts w:ascii="宋体" w:hAnsi="宋体" w:cs="宋体" w:hint="eastAsia"/>
          <w:b/>
          <w:bCs/>
          <w:color w:val="000000"/>
          <w:kern w:val="0"/>
          <w:sz w:val="24"/>
        </w:rPr>
        <w:t>五、申报程序</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1．课程负责人填写《福州大学一流本科课程立项申报书》（见附件3）。</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2．学院对申请项目进行汇总并分类排序推荐，填写《福州大学一流本科课程立项申报汇总表》（见附件4）。</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lastRenderedPageBreak/>
        <w:t>3．以学院为单位于2021年5月11日11:00时前，将汇总表（附件4）及所有申报书（附件3）的纸质版一式一份提交至教务处教研科（行北西204）。电子版以“某某学院一流本科课程立项申报（课程数）”命名压缩文件夹，并发至3424125910@qq.com。</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4．学校组织专家组对申请项目进行评审，遴选出115门左右课程作为“福州大学2021年一流本科课程建设项目”，并予以公布。</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r w:rsidRPr="00BC74F0">
        <w:rPr>
          <w:rFonts w:ascii="宋体" w:hAnsi="宋体" w:cs="宋体" w:hint="eastAsia"/>
          <w:color w:val="000000"/>
          <w:kern w:val="0"/>
          <w:sz w:val="24"/>
        </w:rPr>
        <w:t>联系人：张老师 22866898</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hyperlink r:id="rId5" w:history="1">
        <w:r w:rsidRPr="00BC74F0">
          <w:rPr>
            <w:rFonts w:ascii="宋体" w:hAnsi="宋体" w:cs="宋体" w:hint="eastAsia"/>
            <w:color w:val="000000"/>
            <w:kern w:val="0"/>
            <w:sz w:val="24"/>
          </w:rPr>
          <w:t>附件1：《教育部关于一流本科课程建设的实施意见》（</w:t>
        </w:r>
        <w:proofErr w:type="gramStart"/>
        <w:r w:rsidRPr="00BC74F0">
          <w:rPr>
            <w:rFonts w:ascii="宋体" w:hAnsi="宋体" w:cs="宋体" w:hint="eastAsia"/>
            <w:color w:val="000000"/>
            <w:kern w:val="0"/>
            <w:sz w:val="24"/>
          </w:rPr>
          <w:t>教高〔2019〕</w:t>
        </w:r>
        <w:proofErr w:type="gramEnd"/>
        <w:r w:rsidRPr="00BC74F0">
          <w:rPr>
            <w:rFonts w:ascii="宋体" w:hAnsi="宋体" w:cs="宋体" w:hint="eastAsia"/>
            <w:color w:val="000000"/>
            <w:kern w:val="0"/>
            <w:sz w:val="24"/>
          </w:rPr>
          <w:t>8号）</w:t>
        </w:r>
      </w:hyperlink>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hyperlink r:id="rId6" w:history="1">
        <w:r w:rsidRPr="00BC74F0">
          <w:rPr>
            <w:rFonts w:ascii="宋体" w:hAnsi="宋体" w:cs="宋体" w:hint="eastAsia"/>
            <w:color w:val="000000"/>
            <w:kern w:val="0"/>
            <w:sz w:val="24"/>
          </w:rPr>
          <w:t>附件2：《高等学校慕课建设与应用指南（试行）》</w:t>
        </w:r>
      </w:hyperlink>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hyperlink r:id="rId7" w:history="1">
        <w:r w:rsidRPr="00BC74F0">
          <w:rPr>
            <w:rFonts w:ascii="宋体" w:hAnsi="宋体" w:cs="宋体" w:hint="eastAsia"/>
            <w:color w:val="000000"/>
            <w:kern w:val="0"/>
            <w:sz w:val="24"/>
          </w:rPr>
          <w:t>附件3：福州大学一流本科课程立项申报书</w:t>
        </w:r>
      </w:hyperlink>
      <w:bookmarkStart w:id="0" w:name="_GoBack"/>
      <w:bookmarkEnd w:id="0"/>
    </w:p>
    <w:p w:rsidR="00BC74F0" w:rsidRDefault="00BC74F0" w:rsidP="00BC74F0">
      <w:pPr>
        <w:widowControl/>
        <w:spacing w:before="100" w:beforeAutospacing="1" w:after="100" w:afterAutospacing="1" w:line="300" w:lineRule="atLeast"/>
        <w:ind w:right="960" w:firstLine="560"/>
        <w:rPr>
          <w:rFonts w:ascii="宋体" w:hAnsi="宋体" w:cs="宋体" w:hint="eastAsia"/>
          <w:color w:val="000000"/>
          <w:kern w:val="0"/>
          <w:sz w:val="24"/>
        </w:rPr>
      </w:pPr>
      <w:hyperlink r:id="rId8" w:history="1">
        <w:r w:rsidRPr="00BC74F0">
          <w:rPr>
            <w:rFonts w:ascii="宋体" w:hAnsi="宋体" w:cs="宋体" w:hint="eastAsia"/>
            <w:color w:val="000000"/>
            <w:kern w:val="0"/>
            <w:sz w:val="24"/>
          </w:rPr>
          <w:t>附件4：福州大学一流本科课程立项申报汇总表</w:t>
        </w:r>
      </w:hyperlink>
    </w:p>
    <w:p w:rsidR="00BC74F0" w:rsidRPr="00BC74F0" w:rsidRDefault="00BC74F0" w:rsidP="00BC74F0">
      <w:pPr>
        <w:widowControl/>
        <w:spacing w:before="100" w:beforeAutospacing="1" w:after="100" w:afterAutospacing="1" w:line="300" w:lineRule="atLeast"/>
        <w:ind w:firstLine="560"/>
        <w:jc w:val="right"/>
        <w:rPr>
          <w:rFonts w:ascii="宋体" w:hAnsi="宋体" w:cs="宋体"/>
          <w:color w:val="000000"/>
          <w:kern w:val="0"/>
          <w:sz w:val="24"/>
        </w:rPr>
      </w:pPr>
      <w:r w:rsidRPr="00BC74F0">
        <w:rPr>
          <w:rFonts w:ascii="宋体" w:hAnsi="宋体" w:cs="宋体" w:hint="eastAsia"/>
          <w:color w:val="000000"/>
          <w:kern w:val="0"/>
          <w:sz w:val="24"/>
        </w:rPr>
        <w:t>福州大学教务处</w:t>
      </w:r>
    </w:p>
    <w:p w:rsidR="00BC74F0" w:rsidRPr="00BC74F0" w:rsidRDefault="00BC74F0" w:rsidP="00BC74F0">
      <w:pPr>
        <w:widowControl/>
        <w:spacing w:before="100" w:beforeAutospacing="1" w:after="100" w:afterAutospacing="1" w:line="300" w:lineRule="atLeast"/>
        <w:ind w:firstLine="560"/>
        <w:jc w:val="right"/>
        <w:rPr>
          <w:rFonts w:ascii="宋体" w:hAnsi="宋体" w:cs="宋体"/>
          <w:color w:val="000000"/>
          <w:kern w:val="0"/>
          <w:sz w:val="24"/>
        </w:rPr>
      </w:pPr>
      <w:r w:rsidRPr="00BC74F0">
        <w:rPr>
          <w:rFonts w:ascii="宋体" w:hAnsi="宋体" w:cs="宋体" w:hint="eastAsia"/>
          <w:color w:val="000000"/>
          <w:kern w:val="0"/>
          <w:sz w:val="24"/>
        </w:rPr>
        <w:t>2021年4月22日</w:t>
      </w:r>
    </w:p>
    <w:p w:rsidR="00BC74F0" w:rsidRPr="00BC74F0" w:rsidRDefault="00BC74F0" w:rsidP="00BC74F0">
      <w:pPr>
        <w:widowControl/>
        <w:spacing w:before="100" w:beforeAutospacing="1" w:after="100" w:afterAutospacing="1" w:line="300" w:lineRule="atLeast"/>
        <w:ind w:firstLine="560"/>
        <w:jc w:val="left"/>
        <w:rPr>
          <w:rFonts w:ascii="宋体" w:hAnsi="宋体" w:cs="宋体"/>
          <w:color w:val="000000"/>
          <w:kern w:val="0"/>
          <w:sz w:val="24"/>
        </w:rPr>
      </w:pPr>
    </w:p>
    <w:p w:rsidR="00BC74F0" w:rsidRPr="00BC74F0" w:rsidRDefault="00BC74F0">
      <w:pPr>
        <w:rPr>
          <w:rFonts w:hint="eastAsia"/>
          <w:b/>
          <w:bCs/>
          <w:color w:val="000000"/>
          <w:sz w:val="23"/>
          <w:szCs w:val="23"/>
        </w:rPr>
      </w:pPr>
    </w:p>
    <w:p w:rsidR="00BC74F0" w:rsidRDefault="00BC74F0">
      <w:pPr>
        <w:rPr>
          <w:rFonts w:hint="eastAsia"/>
          <w:b/>
          <w:bCs/>
          <w:color w:val="000000"/>
          <w:sz w:val="23"/>
          <w:szCs w:val="23"/>
        </w:rPr>
      </w:pPr>
    </w:p>
    <w:p w:rsidR="00BC74F0" w:rsidRDefault="00BC74F0">
      <w:pPr>
        <w:rPr>
          <w:rFonts w:hint="eastAsia"/>
          <w:b/>
          <w:bCs/>
          <w:color w:val="000000"/>
          <w:sz w:val="23"/>
          <w:szCs w:val="23"/>
        </w:rPr>
      </w:pPr>
    </w:p>
    <w:p w:rsidR="00BC74F0" w:rsidRPr="00BC74F0" w:rsidRDefault="00BC74F0"/>
    <w:sectPr w:rsidR="00BC74F0" w:rsidRPr="00BC74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73B"/>
    <w:rsid w:val="0006291B"/>
    <w:rsid w:val="00BC74F0"/>
    <w:rsid w:val="00C74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C74F0"/>
    <w:rPr>
      <w:color w:val="0000FF"/>
      <w:u w:val="single"/>
    </w:rPr>
  </w:style>
  <w:style w:type="paragraph" w:styleId="a4">
    <w:name w:val="Normal (Web)"/>
    <w:basedOn w:val="a"/>
    <w:uiPriority w:val="99"/>
    <w:unhideWhenUsed/>
    <w:rsid w:val="00BC74F0"/>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C74F0"/>
    <w:rPr>
      <w:color w:val="0000FF"/>
      <w:u w:val="single"/>
    </w:rPr>
  </w:style>
  <w:style w:type="paragraph" w:styleId="a4">
    <w:name w:val="Normal (Web)"/>
    <w:basedOn w:val="a"/>
    <w:uiPriority w:val="99"/>
    <w:unhideWhenUsed/>
    <w:rsid w:val="00BC74F0"/>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930068">
      <w:bodyDiv w:val="1"/>
      <w:marLeft w:val="0"/>
      <w:marRight w:val="0"/>
      <w:marTop w:val="0"/>
      <w:marBottom w:val="0"/>
      <w:divBdr>
        <w:top w:val="none" w:sz="0" w:space="0" w:color="auto"/>
        <w:left w:val="none" w:sz="0" w:space="0" w:color="auto"/>
        <w:bottom w:val="none" w:sz="0" w:space="0" w:color="auto"/>
        <w:right w:val="none" w:sz="0" w:space="0" w:color="auto"/>
      </w:divBdr>
      <w:divsChild>
        <w:div w:id="1236358830">
          <w:marLeft w:val="0"/>
          <w:marRight w:val="0"/>
          <w:marTop w:val="0"/>
          <w:marBottom w:val="0"/>
          <w:divBdr>
            <w:top w:val="none" w:sz="0" w:space="0" w:color="auto"/>
            <w:left w:val="none" w:sz="0" w:space="0" w:color="auto"/>
            <w:bottom w:val="none" w:sz="0" w:space="0" w:color="auto"/>
            <w:right w:val="none" w:sz="0" w:space="0" w:color="auto"/>
          </w:divBdr>
          <w:divsChild>
            <w:div w:id="1636135292">
              <w:marLeft w:val="0"/>
              <w:marRight w:val="0"/>
              <w:marTop w:val="0"/>
              <w:marBottom w:val="0"/>
              <w:divBdr>
                <w:top w:val="none" w:sz="0" w:space="0" w:color="auto"/>
                <w:left w:val="none" w:sz="0" w:space="0" w:color="auto"/>
                <w:bottom w:val="none" w:sz="0" w:space="0" w:color="auto"/>
                <w:right w:val="none" w:sz="0" w:space="0" w:color="auto"/>
              </w:divBdr>
              <w:divsChild>
                <w:div w:id="1437947762">
                  <w:marLeft w:val="0"/>
                  <w:marRight w:val="0"/>
                  <w:marTop w:val="75"/>
                  <w:marBottom w:val="0"/>
                  <w:divBdr>
                    <w:top w:val="none" w:sz="0" w:space="0" w:color="auto"/>
                    <w:left w:val="none" w:sz="0" w:space="0" w:color="auto"/>
                    <w:bottom w:val="none" w:sz="0" w:space="0" w:color="auto"/>
                    <w:right w:val="none" w:sz="0" w:space="0" w:color="auto"/>
                  </w:divBdr>
                  <w:divsChild>
                    <w:div w:id="18043010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fzu.edu.cn/upload/file/202142216056117.xlsx" TargetMode="External"/><Relationship Id="rId3" Type="http://schemas.openxmlformats.org/officeDocument/2006/relationships/settings" Target="settings.xml"/><Relationship Id="rId7" Type="http://schemas.openxmlformats.org/officeDocument/2006/relationships/hyperlink" Target="http://info.fzu.edu.cn/upload/file/202142216042770.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info.fzu.edu.cn/upload/file/202142216025632.pdf" TargetMode="External"/><Relationship Id="rId5" Type="http://schemas.openxmlformats.org/officeDocument/2006/relationships/hyperlink" Target="http://info.fzu.edu.cn/upload/file/2021422155943780.doc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378</Words>
  <Characters>2156</Characters>
  <Application>Microsoft Office Word</Application>
  <DocSecurity>0</DocSecurity>
  <Lines>17</Lines>
  <Paragraphs>5</Paragraphs>
  <ScaleCrop>false</ScaleCrop>
  <Company>微软中国</Company>
  <LinksUpToDate>false</LinksUpToDate>
  <CharactersWithSpaces>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2021-04-22T08:36:00Z</dcterms:created>
  <dcterms:modified xsi:type="dcterms:W3CDTF">2021-04-22T08:38:00Z</dcterms:modified>
</cp:coreProperties>
</file>